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Century Gothic" w:cs="Century Gothic" w:eastAsia="Century Gothic" w:hAnsi="Century Gothic"/>
          <w:b w:val="1"/>
          <w:sz w:val="48"/>
          <w:szCs w:val="4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48"/>
          <w:szCs w:val="48"/>
          <w:rtl w:val="0"/>
        </w:rPr>
        <w:t xml:space="preserve">MUNICIPALIDAD DE SAN LUCAS SACATEPÉQUEZ, SACATEPÉQUEZ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b="0" l="0" r="0" t="0"/>
            <wp:wrapNone/>
            <wp:docPr id="200412960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374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19"/>
        <w:gridCol w:w="7"/>
        <w:gridCol w:w="1212"/>
        <w:gridCol w:w="4630"/>
        <w:gridCol w:w="2160"/>
        <w:gridCol w:w="3217"/>
        <w:tblGridChange w:id="0">
          <w:tblGrid>
            <w:gridCol w:w="2519"/>
            <w:gridCol w:w="7"/>
            <w:gridCol w:w="1212"/>
            <w:gridCol w:w="4630"/>
            <w:gridCol w:w="2160"/>
            <w:gridCol w:w="3217"/>
          </w:tblGrid>
        </w:tblGridChange>
      </w:tblGrid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Proceso: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Arbitrios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Identificación: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Century Gothic" w:cs="Century Gothic" w:eastAsia="Century Gothic" w:hAnsi="Century Gothic"/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PR-MSL-DAFIM-T-UA-RM-04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Procedimiento: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Reportes de Morosidad</w:t>
            </w:r>
            <w:r w:rsidDel="00000000" w:rsidR="00000000" w:rsidRPr="00000000">
              <w:rPr>
                <w:rFonts w:ascii="Georgia" w:cs="Georgia" w:eastAsia="Georgia" w:hAnsi="Georgia"/>
                <w:b w:val="1"/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Versión:</w:t>
            </w:r>
          </w:p>
        </w:tc>
        <w:tc>
          <w:tcPr/>
          <w:p w:rsidR="00000000" w:rsidDel="00000000" w:rsidP="00000000" w:rsidRDefault="00000000" w:rsidRPr="00000000" w14:paraId="0000000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Dirección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Departamento</w:t>
            </w:r>
          </w:p>
        </w:tc>
        <w:tc>
          <w:tcPr>
            <w:gridSpan w:val="2"/>
            <w:shd w:fill="99cc00" w:val="clea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Unidad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67" w:hRule="atLeast"/>
          <w:tblHeader w:val="0"/>
        </w:trPr>
        <w:tc>
          <w:tcPr>
            <w:gridSpan w:val="3"/>
            <w:vAlign w:val="center"/>
          </w:tcPr>
          <w:p w:rsidR="00000000" w:rsidDel="00000000" w:rsidP="00000000" w:rsidRDefault="00000000" w:rsidRPr="00000000" w14:paraId="00000014">
            <w:pPr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Administración Financiera Integrada Municipal</w:t>
            </w:r>
          </w:p>
          <w:p w:rsidR="00000000" w:rsidDel="00000000" w:rsidP="00000000" w:rsidRDefault="00000000" w:rsidRPr="00000000" w14:paraId="00000016">
            <w:pPr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9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Tesorería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Arbitrios </w:t>
            </w:r>
          </w:p>
        </w:tc>
      </w:tr>
      <w:tr>
        <w:trPr>
          <w:cantSplit w:val="0"/>
          <w:trHeight w:val="68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Nombre Completo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2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Firma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3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Elaboración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4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Elaborado por: 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25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Betzayda Rossio Palao Martínez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8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20 de mayo de 2025</w:t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A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2B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Coordinadora de Arbitrios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1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0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31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4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5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Revisado</w:t>
            </w:r>
          </w:p>
        </w:tc>
      </w:tr>
      <w:tr>
        <w:trPr>
          <w:cantSplit w:val="0"/>
          <w:trHeight w:val="57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Revisado por: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37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Kelly </w:t>
            </w: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Edenylson</w:t>
            </w: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 Rosales saravia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A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3B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28 de julio de 2025</w:t>
            </w:r>
          </w:p>
        </w:tc>
      </w:tr>
      <w:tr>
        <w:trPr>
          <w:cantSplit w:val="0"/>
          <w:trHeight w:val="38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3D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Director Financiero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5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43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6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Aprobación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Aprobado por: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9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Lic. Yener Haroldo Plaza Natareno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C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E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F">
            <w:pPr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Alcalde Municipal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jc w:val="left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Objetivo</w:t>
      </w:r>
    </w:p>
    <w:p w:rsidR="00000000" w:rsidDel="00000000" w:rsidP="00000000" w:rsidRDefault="00000000" w:rsidRPr="00000000" w14:paraId="00000056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Es gestionar el cobro de los arbitrios municipales, que son tasas que pagan los vecinos por los servicios públicos que brinda el municipio.</w:t>
      </w:r>
    </w:p>
    <w:p w:rsidR="00000000" w:rsidDel="00000000" w:rsidP="00000000" w:rsidRDefault="00000000" w:rsidRPr="00000000" w14:paraId="00000057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Marco Legal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Artículos 1, 2, 3, 5, 7, 52 y 53 del Código Municipal (Decreto 12-2002) y sus modificaciones según decreto 22-2010.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de Establecimientos abiertos al Público. Decreto 56-95.</w:t>
      </w:r>
    </w:p>
    <w:p w:rsidR="00000000" w:rsidDel="00000000" w:rsidP="00000000" w:rsidRDefault="00000000" w:rsidRPr="00000000" w14:paraId="0000005B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Normas de Aplicación Interna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Usuarios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Dirección Municipal de Administración Financiera Integrada Municipal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Narrativa </w:t>
      </w:r>
    </w:p>
    <w:tbl>
      <w:tblPr>
        <w:tblStyle w:val="Table2"/>
        <w:tblW w:w="1374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71"/>
        <w:gridCol w:w="8789"/>
        <w:gridCol w:w="3680"/>
        <w:tblGridChange w:id="0">
          <w:tblGrid>
            <w:gridCol w:w="1271"/>
            <w:gridCol w:w="8789"/>
            <w:gridCol w:w="3680"/>
          </w:tblGrid>
        </w:tblGridChange>
      </w:tblGrid>
      <w:tr>
        <w:trPr>
          <w:cantSplit w:val="0"/>
          <w:tblHeader w:val="0"/>
        </w:trPr>
        <w:tc>
          <w:tcPr>
            <w:shd w:fill="92d050" w:val="clea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No.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Actividades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Responsable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65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Revisar cada una de las tarjetas de transportes, mercados y parqueos privados en el sistema de Servicios GL por número de tarjeta.</w:t>
            </w:r>
          </w:p>
        </w:tc>
        <w:tc>
          <w:tcPr/>
          <w:p w:rsidR="00000000" w:rsidDel="00000000" w:rsidP="00000000" w:rsidRDefault="00000000" w:rsidRPr="00000000" w14:paraId="00000066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Arbitrios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9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Actualizar cada tarjeta para </w:t>
            </w: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determinar</w:t>
            </w: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 la cantidad pendiente de pago, se procede a realizar informes para cada dependencia ellos se encargan de </w:t>
            </w: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notificar a</w:t>
            </w: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 los usuarios o arrendatarios para que se acerquen a realizar su pago.                                     </w:t>
            </w:r>
          </w:p>
          <w:p w:rsidR="00000000" w:rsidDel="00000000" w:rsidP="00000000" w:rsidRDefault="00000000" w:rsidRPr="00000000" w14:paraId="0000006A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B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Trasladar a cada Dependencia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6F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Revisar la base de datos de establecimientos abiertos al público cada una de las tarjetas en el Sistema GL mensualmente, para verificar que se encuentren al día en los pagos.</w:t>
            </w:r>
          </w:p>
        </w:tc>
        <w:tc>
          <w:tcPr/>
          <w:p w:rsidR="00000000" w:rsidDel="00000000" w:rsidP="00000000" w:rsidRDefault="00000000" w:rsidRPr="00000000" w14:paraId="00000070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Arbitrios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2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73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Generar notas de cobro para notificarle a cada contribuyente y si no realiza los pagos </w:t>
            </w: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después de 3 notificaciones se traslada el expediente al Juzgado de Asuntos Municipales para lo que corresponde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4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Arbitrios</w:t>
            </w:r>
          </w:p>
        </w:tc>
      </w:tr>
    </w:tbl>
    <w:p w:rsidR="00000000" w:rsidDel="00000000" w:rsidP="00000000" w:rsidRDefault="00000000" w:rsidRPr="00000000" w14:paraId="00000076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jc w:val="left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Diagrama</w:t>
      </w:r>
    </w:p>
    <w:p w:rsidR="00000000" w:rsidDel="00000000" w:rsidP="00000000" w:rsidRDefault="00000000" w:rsidRPr="00000000" w14:paraId="0000007B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7588785" cy="4163817"/>
            <wp:effectExtent b="0" l="0" r="0" t="0"/>
            <wp:docPr descr="A diagram of a project&#10;&#10;AI-generated content may be incorrect." id="2004129609" name="image1.png"/>
            <a:graphic>
              <a:graphicData uri="http://schemas.openxmlformats.org/drawingml/2006/picture">
                <pic:pic>
                  <pic:nvPicPr>
                    <pic:cNvPr descr="A diagram of a project&#10;&#10;AI-generated content may be incorrect." id="0" name="image1.png"/>
                    <pic:cNvPicPr preferRelativeResize="0"/>
                  </pic:nvPicPr>
                  <pic:blipFill>
                    <a:blip r:embed="rId8"/>
                    <a:srcRect b="17543" l="1882" r="0" t="1694"/>
                    <a:stretch>
                      <a:fillRect/>
                    </a:stretch>
                  </pic:blipFill>
                  <pic:spPr>
                    <a:xfrm>
                      <a:off x="0" y="0"/>
                      <a:ext cx="7588785" cy="41638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bookmarkStart w:colFirst="0" w:colLast="0" w:name="_heading=h.ppszkht57tkh" w:id="0"/>
      <w:bookmarkEnd w:id="0"/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Tabla de Anexos</w:t>
      </w:r>
    </w:p>
    <w:tbl>
      <w:tblPr>
        <w:tblStyle w:val="Table3"/>
        <w:tblW w:w="1356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74"/>
        <w:gridCol w:w="11891"/>
        <w:tblGridChange w:id="0">
          <w:tblGrid>
            <w:gridCol w:w="1674"/>
            <w:gridCol w:w="11891"/>
          </w:tblGrid>
        </w:tblGridChange>
      </w:tblGrid>
      <w:tr>
        <w:trPr>
          <w:cantSplit w:val="0"/>
          <w:trHeight w:val="470" w:hRule="atLeast"/>
          <w:tblHeader w:val="0"/>
        </w:trPr>
        <w:tc>
          <w:tcPr/>
          <w:p w:rsidR="00000000" w:rsidDel="00000000" w:rsidP="00000000" w:rsidRDefault="00000000" w:rsidRPr="00000000" w14:paraId="0000007E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No.</w:t>
            </w:r>
          </w:p>
        </w:tc>
        <w:tc>
          <w:tcPr/>
          <w:p w:rsidR="00000000" w:rsidDel="00000000" w:rsidP="00000000" w:rsidRDefault="00000000" w:rsidRPr="00000000" w14:paraId="0000007F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Anexo</w:t>
            </w:r>
          </w:p>
        </w:tc>
      </w:tr>
      <w:tr>
        <w:trPr>
          <w:cantSplit w:val="0"/>
          <w:trHeight w:val="399" w:hRule="atLeast"/>
          <w:tblHeader w:val="0"/>
        </w:trPr>
        <w:tc>
          <w:tcPr/>
          <w:p w:rsidR="00000000" w:rsidDel="00000000" w:rsidP="00000000" w:rsidRDefault="00000000" w:rsidRPr="00000000" w14:paraId="00000080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1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Tarjetas</w:t>
            </w:r>
          </w:p>
        </w:tc>
      </w:tr>
      <w:tr>
        <w:trPr>
          <w:cantSplit w:val="0"/>
          <w:trHeight w:val="399" w:hRule="atLeast"/>
          <w:tblHeader w:val="0"/>
        </w:trPr>
        <w:tc>
          <w:tcPr/>
          <w:p w:rsidR="00000000" w:rsidDel="00000000" w:rsidP="00000000" w:rsidRDefault="00000000" w:rsidRPr="00000000" w14:paraId="00000082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83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Requerimiento de Pago</w:t>
            </w:r>
          </w:p>
          <w:p w:rsidR="00000000" w:rsidDel="00000000" w:rsidP="00000000" w:rsidRDefault="00000000" w:rsidRPr="00000000" w14:paraId="00000084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5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Anexo 1 Tarjetas</w:t>
      </w:r>
    </w:p>
    <w:p w:rsidR="00000000" w:rsidDel="00000000" w:rsidP="00000000" w:rsidRDefault="00000000" w:rsidRPr="00000000" w14:paraId="00000090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</w:rPr>
        <w:drawing>
          <wp:inline distB="0" distT="0" distL="0" distR="0">
            <wp:extent cx="7660468" cy="3070873"/>
            <wp:effectExtent b="0" l="0" r="0" t="0"/>
            <wp:docPr id="200412960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60468" cy="30708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Anexo 1 Tarjetas</w:t>
      </w:r>
    </w:p>
    <w:p w:rsidR="00000000" w:rsidDel="00000000" w:rsidP="00000000" w:rsidRDefault="00000000" w:rsidRPr="00000000" w14:paraId="00000095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</w:rPr>
        <w:drawing>
          <wp:inline distB="0" distT="0" distL="0" distR="0">
            <wp:extent cx="7704759" cy="3040998"/>
            <wp:effectExtent b="0" l="0" r="0" t="0"/>
            <wp:docPr id="20041296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04759" cy="30409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Anexo 1 Tarjetas</w:t>
      </w:r>
    </w:p>
    <w:p w:rsidR="00000000" w:rsidDel="00000000" w:rsidP="00000000" w:rsidRDefault="00000000" w:rsidRPr="00000000" w14:paraId="0000009B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</w:rPr>
        <w:drawing>
          <wp:inline distB="0" distT="0" distL="0" distR="0">
            <wp:extent cx="7694615" cy="3757210"/>
            <wp:effectExtent b="0" l="0" r="0" t="0"/>
            <wp:docPr id="200412961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94615" cy="37572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Anexo 2 Requerimiento de Pago</w:t>
      </w:r>
    </w:p>
    <w:p w:rsidR="00000000" w:rsidDel="00000000" w:rsidP="00000000" w:rsidRDefault="00000000" w:rsidRPr="00000000" w14:paraId="0000009F">
      <w:pPr>
        <w:jc w:val="center"/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</w:rPr>
        <w:drawing>
          <wp:inline distB="0" distT="0" distL="0" distR="0">
            <wp:extent cx="3748722" cy="3937878"/>
            <wp:effectExtent b="0" l="0" r="0" t="0"/>
            <wp:docPr id="200412960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48722" cy="39378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footerReference r:id="rId15" w:type="first"/>
      <w:pgSz w:h="12240" w:w="15840" w:orient="landscape"/>
      <w:pgMar w:bottom="1440" w:top="1440" w:left="851" w:right="1239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A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entury Gothic" w:cs="Century Gothic" w:eastAsia="Century Gothic" w:hAnsi="Century Gothic"/>
        <w:b w:val="1"/>
        <w:sz w:val="24"/>
        <w:szCs w:val="24"/>
      </w:rPr>
    </w:pPr>
    <w:r w:rsidDel="00000000" w:rsidR="00000000" w:rsidRPr="00000000">
      <w:rPr>
        <w:rtl w:val="0"/>
      </w:rPr>
    </w:r>
  </w:p>
  <w:tbl>
    <w:tblPr>
      <w:tblStyle w:val="Table4"/>
      <w:tblW w:w="13591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400"/>
    </w:tblPr>
    <w:tblGrid>
      <w:gridCol w:w="3220"/>
      <w:gridCol w:w="6840"/>
      <w:gridCol w:w="3531"/>
      <w:tblGridChange w:id="0">
        <w:tblGrid>
          <w:gridCol w:w="3220"/>
          <w:gridCol w:w="6840"/>
          <w:gridCol w:w="3531"/>
        </w:tblGrid>
      </w:tblGridChange>
    </w:tblGrid>
    <w:tr>
      <w:trPr>
        <w:cantSplit w:val="0"/>
        <w:trHeight w:val="424" w:hRule="atLeast"/>
        <w:tblHeader w:val="0"/>
      </w:trPr>
      <w:tc>
        <w:tcPr>
          <w:vMerge w:val="restart"/>
        </w:tcPr>
        <w:p w:rsidR="00000000" w:rsidDel="00000000" w:rsidP="00000000" w:rsidRDefault="00000000" w:rsidRPr="00000000" w14:paraId="000000A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b="0" l="0" r="0" t="0"/>
                <wp:wrapNone/>
                <wp:docPr id="2004129612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vMerge w:val="restart"/>
          <w:vAlign w:val="center"/>
        </w:tcPr>
        <w:p w:rsidR="00000000" w:rsidDel="00000000" w:rsidP="00000000" w:rsidRDefault="00000000" w:rsidRPr="00000000" w14:paraId="000000A3">
          <w:pPr>
            <w:jc w:val="center"/>
            <w:rPr>
              <w:rFonts w:ascii="Century Gothic" w:cs="Century Gothic" w:eastAsia="Century Gothic" w:hAnsi="Century Gothic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color w:val="000000"/>
              <w:sz w:val="24"/>
              <w:szCs w:val="24"/>
              <w:rtl w:val="0"/>
            </w:rPr>
            <w:t xml:space="preserve">Procedimiento Reportes de Morosidad</w:t>
          </w:r>
        </w:p>
        <w:p w:rsidR="00000000" w:rsidDel="00000000" w:rsidP="00000000" w:rsidRDefault="00000000" w:rsidRPr="00000000" w14:paraId="000000A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A5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Identificación: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A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A7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A8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PR-MSL-DAFIM-T-UAEE-RM-04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24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A9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AA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AB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Versión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AC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AD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A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</w:t>
          </w:r>
        </w:p>
      </w:tc>
    </w:tr>
  </w:tbl>
  <w:p w:rsidR="00000000" w:rsidDel="00000000" w:rsidP="00000000" w:rsidRDefault="00000000" w:rsidRPr="00000000" w14:paraId="000000A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2"/>
        <w:szCs w:val="22"/>
        <w:lang w:val="es-G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4A77F7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4A77F7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4A77F7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4A77F7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4A77F7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4A77F7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4A77F7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4A77F7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4A77F7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4A77F7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4A77F7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4A77F7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4A77F7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4A77F7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4A77F7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4A77F7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4A77F7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4A77F7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4A77F7"/>
    <w:rPr>
      <w:b w:val="1"/>
      <w:bCs w:val="1"/>
      <w:smallCaps w:val="1"/>
      <w:color w:val="0f4761" w:themeColor="accent1" w:themeShade="0000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C793B"/>
  </w:style>
  <w:style w:type="character" w:styleId="Strong">
    <w:name w:val="Strong"/>
    <w:basedOn w:val="DefaultParagraphFont"/>
    <w:uiPriority w:val="22"/>
    <w:qFormat w:val="1"/>
    <w:rsid w:val="0028525D"/>
    <w:rPr>
      <w:b w:val="1"/>
      <w:b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image" Target="media/image4.png"/><Relationship Id="rId13" Type="http://schemas.openxmlformats.org/officeDocument/2006/relationships/header" Target="header1.xml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footer" Target="footer2.xm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ewNwwOaa5T0jD8/xqVVogBKklQ==">CgMxLjAyDmgucHBzemtodDU3dGtoOAByITFzb3RFemY2Njl5VVZOQTdMWDdMNWdjZzR0Rm9NTW1ueQ==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2025-05-26T14:25:00Z</dcterms:created>
  <dc:creator>William Fernando Cambara Cortez</dc:creator>
</cp:coreProperties>
</file>